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421BC" w14:textId="77777777" w:rsidR="00F6020F" w:rsidRDefault="00F6020F" w:rsidP="00F6020F">
      <w:pPr>
        <w:widowControl w:val="0"/>
        <w:ind w:firstLine="4536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Neformaliojo vaikų švietimo ir jo teikėjų</w:t>
      </w:r>
    </w:p>
    <w:p w14:paraId="495EEC0F" w14:textId="77777777" w:rsidR="00F6020F" w:rsidRDefault="00F6020F" w:rsidP="00F6020F">
      <w:pPr>
        <w:widowControl w:val="0"/>
        <w:ind w:firstLine="4536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veiklos kokybės užtikrinimo metodikos  </w:t>
      </w:r>
    </w:p>
    <w:p w14:paraId="5992CF38" w14:textId="77777777" w:rsidR="00F6020F" w:rsidRDefault="00F6020F" w:rsidP="00F6020F">
      <w:pPr>
        <w:widowControl w:val="0"/>
        <w:ind w:firstLine="4536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4 priedas</w:t>
      </w:r>
    </w:p>
    <w:p w14:paraId="70247407" w14:textId="77777777" w:rsidR="00F6020F" w:rsidRDefault="00F6020F" w:rsidP="00F6020F">
      <w:pPr>
        <w:widowControl w:val="0"/>
        <w:ind w:firstLine="4536"/>
        <w:rPr>
          <w:color w:val="000000"/>
          <w:szCs w:val="24"/>
          <w:lang w:eastAsia="lt-LT"/>
        </w:rPr>
      </w:pPr>
    </w:p>
    <w:p w14:paraId="418424D5" w14:textId="77777777" w:rsidR="00F6020F" w:rsidRDefault="00F6020F" w:rsidP="00F6020F">
      <w:pPr>
        <w:widowControl w:val="0"/>
        <w:tabs>
          <w:tab w:val="left" w:pos="709"/>
        </w:tabs>
        <w:rPr>
          <w:b/>
          <w:szCs w:val="24"/>
        </w:rPr>
      </w:pPr>
    </w:p>
    <w:p w14:paraId="0585D5A0" w14:textId="77777777" w:rsidR="00F6020F" w:rsidRDefault="00F6020F" w:rsidP="00F6020F">
      <w:pPr>
        <w:widowControl w:val="0"/>
        <w:ind w:left="-100" w:firstLine="242"/>
        <w:jc w:val="center"/>
        <w:rPr>
          <w:b/>
        </w:rPr>
      </w:pPr>
      <w:r>
        <w:rPr>
          <w:b/>
        </w:rPr>
        <w:t>NEFORMALIOJO VAIKŲ ŠVIETIMO TEIKĖJO KOKYBĖS VERTINIMO</w:t>
      </w:r>
    </w:p>
    <w:p w14:paraId="7A611138" w14:textId="77777777" w:rsidR="00F6020F" w:rsidRDefault="00F6020F" w:rsidP="00F6020F">
      <w:pPr>
        <w:widowControl w:val="0"/>
        <w:jc w:val="center"/>
        <w:rPr>
          <w:b/>
        </w:rPr>
      </w:pPr>
      <w:r>
        <w:rPr>
          <w:b/>
        </w:rPr>
        <w:t>IŠVADA</w:t>
      </w:r>
    </w:p>
    <w:p w14:paraId="78DE9716" w14:textId="77777777" w:rsidR="00F6020F" w:rsidRDefault="00F6020F" w:rsidP="00F6020F">
      <w:pPr>
        <w:widowControl w:val="0"/>
        <w:ind w:left="-100" w:firstLine="4778"/>
        <w:jc w:val="center"/>
        <w:rPr>
          <w:b/>
        </w:rPr>
      </w:pPr>
    </w:p>
    <w:p w14:paraId="0E57300A" w14:textId="77777777" w:rsidR="00F6020F" w:rsidRPr="00F6020F" w:rsidRDefault="00F6020F" w:rsidP="00F6020F">
      <w:pPr>
        <w:widowControl w:val="0"/>
        <w:jc w:val="center"/>
        <w:rPr>
          <w:b/>
        </w:rPr>
      </w:pPr>
      <w:r w:rsidRPr="00F6020F">
        <w:rPr>
          <w:b/>
        </w:rPr>
        <w:t xml:space="preserve">KAUNO </w:t>
      </w:r>
      <w:r>
        <w:rPr>
          <w:b/>
        </w:rPr>
        <w:t xml:space="preserve">RAJONO </w:t>
      </w:r>
      <w:r w:rsidRPr="00F6020F">
        <w:rPr>
          <w:b/>
        </w:rPr>
        <w:t>GARLIAVOS MENO MOKYKLA</w:t>
      </w:r>
    </w:p>
    <w:p w14:paraId="41DAABA7" w14:textId="77777777" w:rsidR="00F6020F" w:rsidRDefault="00F6020F" w:rsidP="00F6020F">
      <w:pPr>
        <w:widowControl w:val="0"/>
        <w:ind w:left="-100" w:firstLine="4778"/>
        <w:jc w:val="center"/>
        <w:rPr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495"/>
      </w:tblGrid>
      <w:tr w:rsidR="00F6020F" w14:paraId="1EC997CB" w14:textId="77777777" w:rsidTr="001768F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EC19" w14:textId="77777777" w:rsidR="00F6020F" w:rsidRDefault="00F6020F" w:rsidP="001768F0">
            <w:pPr>
              <w:widowControl w:val="0"/>
              <w:jc w:val="center"/>
              <w:rPr>
                <w:b/>
              </w:rPr>
            </w:pPr>
          </w:p>
          <w:p w14:paraId="4E297165" w14:textId="77777777" w:rsidR="00F6020F" w:rsidRDefault="00F6020F" w:rsidP="001768F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Stiprieji veiklos rodikliai ir / ar jų aspektai</w:t>
            </w:r>
          </w:p>
          <w:p w14:paraId="26F00257" w14:textId="77777777" w:rsidR="00F6020F" w:rsidRDefault="00F6020F" w:rsidP="001768F0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847E" w14:textId="77777777" w:rsidR="00F6020F" w:rsidRDefault="00F6020F" w:rsidP="001768F0">
            <w:pPr>
              <w:widowControl w:val="0"/>
              <w:jc w:val="center"/>
              <w:rPr>
                <w:b/>
              </w:rPr>
            </w:pPr>
          </w:p>
          <w:p w14:paraId="0965BB28" w14:textId="77777777" w:rsidR="00F6020F" w:rsidRDefault="00F6020F" w:rsidP="001768F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Tobulintini veiklos rodikliai ir / ar jų aspektai</w:t>
            </w:r>
          </w:p>
        </w:tc>
      </w:tr>
      <w:tr w:rsidR="00F6020F" w14:paraId="2CE267B3" w14:textId="77777777" w:rsidTr="001768F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0B4E" w14:textId="77777777" w:rsidR="00F6020F" w:rsidRDefault="00F6020F" w:rsidP="001768F0">
            <w:pPr>
              <w:pStyle w:val="Sraopastraipa"/>
              <w:widowControl w:val="0"/>
              <w:numPr>
                <w:ilvl w:val="0"/>
                <w:numId w:val="1"/>
              </w:numPr>
            </w:pPr>
            <w:r>
              <w:t>Ugdomos vaikų bendrosios ir dalykinės (profesinės) kompetencijos – 1.1. (</w:t>
            </w:r>
            <w:r w:rsidR="0095173C">
              <w:t>aukštas)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B90E5" w14:textId="77777777" w:rsidR="00F6020F" w:rsidRDefault="0095173C" w:rsidP="00645504">
            <w:pPr>
              <w:pStyle w:val="Sraopastraipa"/>
              <w:widowControl w:val="0"/>
              <w:numPr>
                <w:ilvl w:val="0"/>
                <w:numId w:val="4"/>
              </w:numPr>
              <w:tabs>
                <w:tab w:val="left" w:pos="376"/>
                <w:tab w:val="left" w:pos="518"/>
              </w:tabs>
              <w:ind w:left="93" w:firstLine="0"/>
            </w:pPr>
            <w:r>
              <w:t>Ugdymo programa ir ugdymo planas – 6. (vidutiniškas)</w:t>
            </w:r>
          </w:p>
        </w:tc>
      </w:tr>
      <w:tr w:rsidR="00F6020F" w14:paraId="5BA1EB07" w14:textId="77777777" w:rsidTr="001768F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14F3" w14:textId="77777777" w:rsidR="00F6020F" w:rsidRDefault="0095173C" w:rsidP="0095173C">
            <w:pPr>
              <w:pStyle w:val="Sraopastraipa"/>
              <w:widowControl w:val="0"/>
              <w:numPr>
                <w:ilvl w:val="0"/>
                <w:numId w:val="1"/>
              </w:numPr>
            </w:pPr>
            <w:r>
              <w:t>Veiklų prieinamumas – 5. (aukštas)</w:t>
            </w:r>
          </w:p>
          <w:p w14:paraId="187D565E" w14:textId="77777777" w:rsidR="00F6020F" w:rsidRDefault="00F6020F" w:rsidP="001768F0">
            <w:pPr>
              <w:widowControl w:val="0"/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0E72" w14:textId="77777777" w:rsidR="00F6020F" w:rsidRDefault="00645504" w:rsidP="00645504">
            <w:pPr>
              <w:pStyle w:val="Sraopastraipa"/>
              <w:widowControl w:val="0"/>
              <w:numPr>
                <w:ilvl w:val="0"/>
                <w:numId w:val="4"/>
              </w:numPr>
              <w:tabs>
                <w:tab w:val="left" w:pos="301"/>
              </w:tabs>
              <w:ind w:left="93" w:firstLine="0"/>
            </w:pPr>
            <w:r>
              <w:t xml:space="preserve"> </w:t>
            </w:r>
            <w:r w:rsidR="0095173C">
              <w:t>Veikia darbuotojų motyvavimo ir kvalifikacijos tobulinimo skatinimo sistema, sudaromos sąlygos nuolatiniam mokytojų bendrųjų kompetencijų ugdymui – 7.</w:t>
            </w:r>
            <w:r>
              <w:t>3. (vidut</w:t>
            </w:r>
            <w:r w:rsidR="0095173C">
              <w:t>iniškas)</w:t>
            </w:r>
          </w:p>
        </w:tc>
      </w:tr>
      <w:tr w:rsidR="00F6020F" w14:paraId="12AF76FB" w14:textId="77777777" w:rsidTr="001768F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4D8C" w14:textId="77777777" w:rsidR="00F6020F" w:rsidRDefault="005C28B6" w:rsidP="005C28B6">
            <w:pPr>
              <w:pStyle w:val="Sraopastraipa"/>
              <w:widowControl w:val="0"/>
              <w:numPr>
                <w:ilvl w:val="0"/>
                <w:numId w:val="1"/>
              </w:numPr>
            </w:pPr>
            <w:r>
              <w:t>Bendravimas ir bendradarbiavimas  – 8.</w:t>
            </w:r>
            <w:r w:rsidR="0095173C">
              <w:t xml:space="preserve"> (aukštas)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5E42D" w14:textId="77777777" w:rsidR="00F6020F" w:rsidRDefault="00645504" w:rsidP="00645504">
            <w:pPr>
              <w:pStyle w:val="Sraopastraipa"/>
              <w:widowControl w:val="0"/>
              <w:numPr>
                <w:ilvl w:val="0"/>
                <w:numId w:val="4"/>
              </w:numPr>
              <w:tabs>
                <w:tab w:val="left" w:pos="436"/>
              </w:tabs>
              <w:ind w:left="93" w:firstLine="0"/>
            </w:pPr>
            <w:r>
              <w:t>Duomenys naudojami tobulinant NVŠ teikėjo strategiją, metinius veiklos ir ugdymo planus – 13.2. (vidutiniškas)</w:t>
            </w:r>
          </w:p>
        </w:tc>
      </w:tr>
      <w:tr w:rsidR="00F6020F" w14:paraId="069CF5D1" w14:textId="77777777" w:rsidTr="001768F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2C7C" w14:textId="77777777" w:rsidR="00F6020F" w:rsidRDefault="0095173C" w:rsidP="001768F0">
            <w:pPr>
              <w:pStyle w:val="Sraopastraipa"/>
              <w:widowControl w:val="0"/>
              <w:numPr>
                <w:ilvl w:val="0"/>
                <w:numId w:val="1"/>
              </w:numPr>
            </w:pPr>
            <w:r>
              <w:t>Fizinė ugdymo(</w:t>
            </w:r>
            <w:proofErr w:type="spellStart"/>
            <w:r>
              <w:t>si</w:t>
            </w:r>
            <w:proofErr w:type="spellEnd"/>
            <w:r>
              <w:t>) aplinka ir priemonės – 10. (aukštas)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7ED1" w14:textId="77777777" w:rsidR="00F6020F" w:rsidRDefault="00F6020F" w:rsidP="0095173C">
            <w:pPr>
              <w:widowControl w:val="0"/>
              <w:ind w:left="360"/>
            </w:pPr>
          </w:p>
        </w:tc>
      </w:tr>
      <w:tr w:rsidR="00F6020F" w14:paraId="3AC3FF61" w14:textId="77777777" w:rsidTr="00940E92">
        <w:trPr>
          <w:trHeight w:val="555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F6E4" w14:textId="77777777" w:rsidR="00F6020F" w:rsidRDefault="005C28B6" w:rsidP="001768F0">
            <w:pPr>
              <w:pStyle w:val="Sraopastraipa"/>
              <w:widowControl w:val="0"/>
              <w:numPr>
                <w:ilvl w:val="0"/>
                <w:numId w:val="1"/>
              </w:numPr>
            </w:pPr>
            <w:r>
              <w:t xml:space="preserve">Psichologinė aplinka – 11. </w:t>
            </w:r>
            <w:r w:rsidR="0095173C">
              <w:t>(aukštas)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69DC" w14:textId="77777777" w:rsidR="00F6020F" w:rsidRDefault="00F6020F" w:rsidP="0095173C">
            <w:pPr>
              <w:widowControl w:val="0"/>
              <w:ind w:left="360"/>
            </w:pPr>
          </w:p>
        </w:tc>
      </w:tr>
    </w:tbl>
    <w:p w14:paraId="0C28F9A5" w14:textId="77777777" w:rsidR="00F6020F" w:rsidRDefault="00F6020F" w:rsidP="00F6020F">
      <w:pPr>
        <w:jc w:val="center"/>
        <w:rPr>
          <w:rFonts w:ascii="HelveticaLT" w:hAnsi="HelveticaLT"/>
        </w:rPr>
      </w:pPr>
      <w:r>
        <w:rPr>
          <w:rFonts w:ascii="Calibri" w:eastAsia="Calibri" w:hAnsi="Calibri" w:cs="Calibri"/>
          <w:color w:val="000000"/>
          <w:lang w:eastAsia="lt-LT"/>
        </w:rPr>
        <w:t>_____________________________________________</w:t>
      </w:r>
    </w:p>
    <w:p w14:paraId="1AFDD468" w14:textId="77777777" w:rsidR="0092598D" w:rsidRDefault="0092598D"/>
    <w:sectPr w:rsidR="0092598D" w:rsidSect="00624453">
      <w:pgSz w:w="11907" w:h="16840" w:code="9"/>
      <w:pgMar w:top="1138" w:right="562" w:bottom="1238" w:left="1134" w:header="288" w:footer="720" w:gutter="0"/>
      <w:pgNumType w:start="1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HelveticaLT">
    <w:altName w:val="Times New Roman"/>
    <w:charset w:val="00"/>
    <w:family w:val="auto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211CC"/>
    <w:multiLevelType w:val="hybridMultilevel"/>
    <w:tmpl w:val="F03A653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A4140"/>
    <w:multiLevelType w:val="hybridMultilevel"/>
    <w:tmpl w:val="46906A5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E21E1"/>
    <w:multiLevelType w:val="hybridMultilevel"/>
    <w:tmpl w:val="D666B3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DD6557"/>
    <w:multiLevelType w:val="hybridMultilevel"/>
    <w:tmpl w:val="0FFEC7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20F"/>
    <w:rsid w:val="001D501E"/>
    <w:rsid w:val="005C28B6"/>
    <w:rsid w:val="00645504"/>
    <w:rsid w:val="0092598D"/>
    <w:rsid w:val="00940E92"/>
    <w:rsid w:val="0095173C"/>
    <w:rsid w:val="00F6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F854"/>
  <w15:chartTrackingRefBased/>
  <w15:docId w15:val="{E4DD7272-96BA-4130-A1D4-BACF0B75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602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6020F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D501E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D501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Naudotojas</cp:lastModifiedBy>
  <cp:revision>6</cp:revision>
  <cp:lastPrinted>2020-11-19T05:45:00Z</cp:lastPrinted>
  <dcterms:created xsi:type="dcterms:W3CDTF">2020-11-19T05:08:00Z</dcterms:created>
  <dcterms:modified xsi:type="dcterms:W3CDTF">2020-11-24T12:47:00Z</dcterms:modified>
</cp:coreProperties>
</file>